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68" w:rsidRPr="00782768" w:rsidRDefault="00782768" w:rsidP="00782768">
      <w:pPr>
        <w:pStyle w:val="Default"/>
        <w:rPr>
          <w:rFonts w:ascii="Garamond" w:hAnsi="Garamond"/>
          <w:b/>
          <w:bCs/>
          <w:iCs/>
          <w:sz w:val="36"/>
          <w:szCs w:val="36"/>
        </w:rPr>
      </w:pPr>
      <w:r w:rsidRPr="00782768">
        <w:rPr>
          <w:rFonts w:ascii="Garamond" w:hAnsi="Garamond"/>
          <w:b/>
          <w:bCs/>
          <w:iCs/>
          <w:sz w:val="36"/>
          <w:szCs w:val="36"/>
        </w:rPr>
        <w:t xml:space="preserve">Utvärderingspolicy  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</w:rPr>
        <w:t xml:space="preserve"> </w:t>
      </w:r>
      <w:r w:rsidRPr="00782768">
        <w:rPr>
          <w:rFonts w:ascii="Garamond" w:hAnsi="Garamond"/>
          <w:i/>
          <w:iCs/>
        </w:rPr>
        <w:t xml:space="preserve">1. Inledning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</w:rPr>
        <w:t xml:space="preserve">Samtliga insatser och </w:t>
      </w:r>
      <w:r>
        <w:rPr>
          <w:rFonts w:ascii="Garamond" w:hAnsi="Garamond"/>
        </w:rPr>
        <w:t>projekt som finansieras med förbundets medel ska utvärde</w:t>
      </w:r>
      <w:r w:rsidRPr="00782768">
        <w:rPr>
          <w:rFonts w:ascii="Garamond" w:hAnsi="Garamond"/>
        </w:rPr>
        <w:t xml:space="preserve">ras och följas upp. </w:t>
      </w:r>
    </w:p>
    <w:p w:rsid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</w:rPr>
        <w:t>Utvärderingen ska i första hand fokusera på lärandet i</w:t>
      </w:r>
      <w:r w:rsidR="005B68D7">
        <w:rPr>
          <w:rFonts w:ascii="Garamond" w:hAnsi="Garamond"/>
        </w:rPr>
        <w:t xml:space="preserve"> de processer som skapar samverkan</w:t>
      </w:r>
      <w:r w:rsidRPr="00782768">
        <w:rPr>
          <w:rFonts w:ascii="Garamond" w:hAnsi="Garamond"/>
        </w:rPr>
        <w:t xml:space="preserve"> och tillhörande metoder. I andra hand på ekonomiska vinster för samhälle, organisation och individ.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  <w:i/>
          <w:iCs/>
        </w:rPr>
        <w:t xml:space="preserve">2. Syfte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  <w:b/>
          <w:bCs/>
        </w:rPr>
        <w:t xml:space="preserve">Kontrollerande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</w:rPr>
        <w:t xml:space="preserve">Ett syfte med utvärderingsarbetet är att undersöka om en insats har </w:t>
      </w:r>
      <w:proofErr w:type="gramStart"/>
      <w:r w:rsidRPr="00782768">
        <w:rPr>
          <w:rFonts w:ascii="Garamond" w:hAnsi="Garamond"/>
        </w:rPr>
        <w:t>givit</w:t>
      </w:r>
      <w:proofErr w:type="gramEnd"/>
      <w:r w:rsidRPr="00782768">
        <w:rPr>
          <w:rFonts w:ascii="Garamond" w:hAnsi="Garamond"/>
        </w:rPr>
        <w:t xml:space="preserve"> ett sådant resultat att det kan tillvaratas inom ordinarie verksamhet. Resultat ska mätas ur ett organisationsperspektiv och ur ett individperspektiv i förekommande fall.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  <w:b/>
          <w:bCs/>
        </w:rPr>
        <w:t xml:space="preserve">Lärande </w:t>
      </w:r>
    </w:p>
    <w:p w:rsid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</w:rPr>
        <w:t xml:space="preserve">Betraktad utifrån lärandesyftet, är utvärdering ett instrument för att förbättra utvecklingssamarbetet genom att återföra </w:t>
      </w:r>
      <w:r>
        <w:rPr>
          <w:rFonts w:ascii="Garamond" w:hAnsi="Garamond"/>
        </w:rPr>
        <w:t>erfarenheter av pågående och ge</w:t>
      </w:r>
      <w:r w:rsidRPr="00782768">
        <w:rPr>
          <w:rFonts w:ascii="Garamond" w:hAnsi="Garamond"/>
        </w:rPr>
        <w:t xml:space="preserve">nomförd verksamhet.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  <w:i/>
          <w:iCs/>
        </w:rPr>
        <w:t xml:space="preserve">3. Utvärderingskriterier </w:t>
      </w:r>
    </w:p>
    <w:p w:rsid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</w:rPr>
        <w:t>Nedan angivna kriterier kan vara angelägna att använda vid en utvärdering. De f</w:t>
      </w:r>
      <w:r>
        <w:rPr>
          <w:rFonts w:ascii="Garamond" w:hAnsi="Garamond"/>
        </w:rPr>
        <w:t>ungerar var och en för sig, lik</w:t>
      </w:r>
      <w:r w:rsidRPr="00782768">
        <w:rPr>
          <w:rFonts w:ascii="Garamond" w:hAnsi="Garamond"/>
        </w:rPr>
        <w:t>väl som tillsamma</w:t>
      </w:r>
      <w:r>
        <w:rPr>
          <w:rFonts w:ascii="Garamond" w:hAnsi="Garamond"/>
        </w:rPr>
        <w:t>ns. Det som styr är</w:t>
      </w:r>
      <w:r w:rsidRPr="00782768">
        <w:rPr>
          <w:rFonts w:ascii="Garamond" w:hAnsi="Garamond"/>
        </w:rPr>
        <w:t xml:space="preserve"> verksamhetens inriktning, mål och syfte.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 w:cs="Wingdings"/>
        </w:rPr>
        <w:t></w:t>
      </w:r>
      <w:r w:rsidRPr="00782768">
        <w:rPr>
          <w:rFonts w:ascii="Garamond" w:hAnsi="Garamond" w:cs="Wingdings"/>
        </w:rPr>
        <w:t></w:t>
      </w:r>
      <w:r w:rsidRPr="00782768">
        <w:rPr>
          <w:rFonts w:ascii="Garamond" w:hAnsi="Garamond"/>
        </w:rPr>
        <w:t xml:space="preserve">Är insatsen förenlig med de mål och </w:t>
      </w:r>
      <w:proofErr w:type="spellStart"/>
      <w:r>
        <w:rPr>
          <w:rFonts w:ascii="Garamond" w:hAnsi="Garamond"/>
        </w:rPr>
        <w:t>policies</w:t>
      </w:r>
      <w:proofErr w:type="spellEnd"/>
      <w:r>
        <w:rPr>
          <w:rFonts w:ascii="Garamond" w:hAnsi="Garamond"/>
        </w:rPr>
        <w:t xml:space="preserve"> som gäller för det sam</w:t>
      </w:r>
      <w:r w:rsidRPr="00782768">
        <w:rPr>
          <w:rFonts w:ascii="Garamond" w:hAnsi="Garamond"/>
        </w:rPr>
        <w:t xml:space="preserve">verkansarbete som ska ske inom Samordningsförbundets område?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 w:cs="Wingdings"/>
        </w:rPr>
        <w:t></w:t>
      </w:r>
      <w:r w:rsidRPr="00782768">
        <w:rPr>
          <w:rFonts w:ascii="Garamond" w:hAnsi="Garamond" w:cs="Wingdings"/>
        </w:rPr>
        <w:t></w:t>
      </w:r>
      <w:r w:rsidRPr="00782768">
        <w:rPr>
          <w:rFonts w:ascii="Garamond" w:hAnsi="Garamond"/>
        </w:rPr>
        <w:t xml:space="preserve">Är insatsens mål uppfyllda?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 w:cs="Wingdings"/>
        </w:rPr>
        <w:t></w:t>
      </w:r>
      <w:r w:rsidRPr="00782768">
        <w:rPr>
          <w:rFonts w:ascii="Garamond" w:hAnsi="Garamond" w:cs="Wingdings"/>
        </w:rPr>
        <w:t></w:t>
      </w:r>
      <w:r w:rsidRPr="00782768">
        <w:rPr>
          <w:rFonts w:ascii="Garamond" w:hAnsi="Garamond"/>
        </w:rPr>
        <w:t xml:space="preserve">Vilka avsiktliga och oavsiktliga effekter har verksamheten medfört?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  <w:i/>
          <w:iCs/>
        </w:rPr>
        <w:t xml:space="preserve">4. Vägledande principer för utvärderingsverksamhet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</w:rPr>
        <w:t>1. Utvärderingar bör genomföras i en anda av öppenhet och samverkan</w:t>
      </w:r>
      <w:r w:rsidR="000613DB">
        <w:rPr>
          <w:rFonts w:ascii="Garamond" w:hAnsi="Garamond"/>
        </w:rPr>
        <w:t xml:space="preserve"> och med samtycke</w:t>
      </w:r>
      <w:r w:rsidRPr="00782768">
        <w:rPr>
          <w:rFonts w:ascii="Garamond" w:hAnsi="Garamond"/>
        </w:rPr>
        <w:t xml:space="preserve">. </w:t>
      </w:r>
    </w:p>
    <w:p w:rsidR="00782768" w:rsidRPr="00782768" w:rsidRDefault="00782768" w:rsidP="00782768">
      <w:pPr>
        <w:pStyle w:val="Default"/>
        <w:rPr>
          <w:rFonts w:ascii="Garamond" w:hAnsi="Garamond"/>
        </w:rPr>
      </w:pPr>
    </w:p>
    <w:p w:rsidR="00782768" w:rsidRPr="00782768" w:rsidRDefault="00782768" w:rsidP="00782768">
      <w:pPr>
        <w:pStyle w:val="Default"/>
        <w:rPr>
          <w:rFonts w:ascii="Garamond" w:hAnsi="Garamond"/>
        </w:rPr>
      </w:pPr>
      <w:r w:rsidRPr="00782768">
        <w:rPr>
          <w:rFonts w:ascii="Garamond" w:hAnsi="Garamond"/>
        </w:rPr>
        <w:t xml:space="preserve">2. Utvärderingar bör genomföras med beaktande av objektivitet och opartiskhet. Med objektivitet avses att en klar åtskillnad görs mellan värdeomdömen och faktautsagor och att faktautsagorna grundas på </w:t>
      </w:r>
      <w:r w:rsidRPr="00782768">
        <w:rPr>
          <w:rFonts w:ascii="Garamond" w:hAnsi="Garamond"/>
          <w:color w:val="auto"/>
        </w:rPr>
        <w:t>tillförlitliga observations- och slutl</w:t>
      </w:r>
      <w:r>
        <w:rPr>
          <w:rFonts w:ascii="Garamond" w:hAnsi="Garamond"/>
          <w:color w:val="auto"/>
        </w:rPr>
        <w:t>edningsmetoder. Opartiskhet krä</w:t>
      </w:r>
      <w:r w:rsidRPr="00782768">
        <w:rPr>
          <w:rFonts w:ascii="Garamond" w:hAnsi="Garamond"/>
          <w:color w:val="auto"/>
        </w:rPr>
        <w:t xml:space="preserve">ver att utvärderingen ger en rättvis och avvägd syn på starka och svaga punkter i den utvärderade verksamheten. </w:t>
      </w:r>
    </w:p>
    <w:p w:rsidR="00782768" w:rsidRP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Pr="00782768" w:rsidRDefault="00782768" w:rsidP="00782768">
      <w:pPr>
        <w:pStyle w:val="Default"/>
        <w:rPr>
          <w:rFonts w:ascii="Garamond" w:hAnsi="Garamond"/>
          <w:color w:val="auto"/>
        </w:rPr>
      </w:pPr>
      <w:r w:rsidRPr="00782768">
        <w:rPr>
          <w:rFonts w:ascii="Garamond" w:hAnsi="Garamond"/>
          <w:color w:val="auto"/>
        </w:rPr>
        <w:t xml:space="preserve">3. Utvärderingar bör vara öppna för insyn. För att säkerställa öppenhet bör de metoder för datainsamling och analys som används i utvärderingar klart redovisas i utvärderingsrapporterna. I utvärderingsrapporter måste värdeomdömen och rekommendationer klart särskiljas från </w:t>
      </w:r>
      <w:proofErr w:type="spellStart"/>
      <w:r w:rsidRPr="00782768">
        <w:rPr>
          <w:rFonts w:ascii="Garamond" w:hAnsi="Garamond"/>
          <w:color w:val="auto"/>
        </w:rPr>
        <w:t>sakpåståenden</w:t>
      </w:r>
      <w:proofErr w:type="spellEnd"/>
      <w:r w:rsidRPr="00782768">
        <w:rPr>
          <w:rFonts w:ascii="Garamond" w:hAnsi="Garamond"/>
          <w:color w:val="auto"/>
        </w:rPr>
        <w:t xml:space="preserve">. </w:t>
      </w:r>
    </w:p>
    <w:p w:rsidR="00782768" w:rsidRP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Pr="00782768" w:rsidRDefault="00782768" w:rsidP="00782768">
      <w:pPr>
        <w:pStyle w:val="Default"/>
        <w:rPr>
          <w:rFonts w:ascii="Garamond" w:hAnsi="Garamond"/>
          <w:color w:val="auto"/>
        </w:rPr>
      </w:pPr>
      <w:r w:rsidRPr="00782768">
        <w:rPr>
          <w:rFonts w:ascii="Garamond" w:hAnsi="Garamond"/>
          <w:color w:val="auto"/>
        </w:rPr>
        <w:t>4. Utvärderingen utgör en integrerad del av insatsen. Projekt och processer bör planeras med tanke på ut</w:t>
      </w:r>
      <w:r>
        <w:rPr>
          <w:rFonts w:ascii="Garamond" w:hAnsi="Garamond"/>
          <w:color w:val="auto"/>
        </w:rPr>
        <w:t>värderingen. Uppföljning och ut</w:t>
      </w:r>
      <w:r w:rsidRPr="00782768">
        <w:rPr>
          <w:rFonts w:ascii="Garamond" w:hAnsi="Garamond"/>
          <w:color w:val="auto"/>
        </w:rPr>
        <w:t xml:space="preserve">värdering ska ske löpande under projekttiden. </w:t>
      </w:r>
    </w:p>
    <w:p w:rsidR="00782768" w:rsidRPr="00782768" w:rsidRDefault="00782768" w:rsidP="00782768">
      <w:pPr>
        <w:pStyle w:val="Default"/>
        <w:rPr>
          <w:rFonts w:ascii="Garamond" w:hAnsi="Garamond"/>
          <w:color w:val="auto"/>
        </w:rPr>
      </w:pPr>
    </w:p>
    <w:p w:rsidR="00782768" w:rsidRPr="00782768" w:rsidRDefault="00782768" w:rsidP="00782768">
      <w:pPr>
        <w:pStyle w:val="Default"/>
        <w:rPr>
          <w:rFonts w:ascii="Garamond" w:hAnsi="Garamond"/>
          <w:color w:val="auto"/>
        </w:rPr>
      </w:pPr>
      <w:r w:rsidRPr="00782768">
        <w:rPr>
          <w:rFonts w:ascii="Garamond" w:hAnsi="Garamond"/>
          <w:i/>
          <w:iCs/>
          <w:color w:val="auto"/>
        </w:rPr>
        <w:t xml:space="preserve">5. Rapportering och spridning </w:t>
      </w:r>
    </w:p>
    <w:p w:rsidR="00782768" w:rsidRDefault="00782768" w:rsidP="00782768">
      <w:pPr>
        <w:pStyle w:val="Default"/>
        <w:rPr>
          <w:rFonts w:ascii="Garamond" w:hAnsi="Garamond"/>
          <w:color w:val="auto"/>
        </w:rPr>
      </w:pPr>
      <w:r w:rsidRPr="00782768">
        <w:rPr>
          <w:rFonts w:ascii="Garamond" w:hAnsi="Garamond"/>
          <w:color w:val="auto"/>
        </w:rPr>
        <w:t>Resultatet av en utvärdering ska spridas till alla intressenter och tillt</w:t>
      </w:r>
      <w:r>
        <w:rPr>
          <w:rFonts w:ascii="Garamond" w:hAnsi="Garamond"/>
          <w:color w:val="auto"/>
        </w:rPr>
        <w:t xml:space="preserve">änkta användare. </w:t>
      </w:r>
      <w:r w:rsidR="00493320">
        <w:rPr>
          <w:rFonts w:ascii="Garamond" w:hAnsi="Garamond"/>
          <w:color w:val="auto"/>
        </w:rPr>
        <w:t>S</w:t>
      </w:r>
      <w:r w:rsidRPr="00782768">
        <w:rPr>
          <w:rFonts w:ascii="Garamond" w:hAnsi="Garamond"/>
          <w:color w:val="auto"/>
        </w:rPr>
        <w:t>amtliga rapporter ska publiceras i kronologisk ordning</w:t>
      </w:r>
      <w:r>
        <w:rPr>
          <w:rFonts w:ascii="Garamond" w:hAnsi="Garamond"/>
          <w:color w:val="auto"/>
        </w:rPr>
        <w:t xml:space="preserve"> på förbundets hemsida</w:t>
      </w:r>
      <w:r w:rsidRPr="00782768">
        <w:rPr>
          <w:rFonts w:ascii="Garamond" w:hAnsi="Garamond"/>
          <w:color w:val="auto"/>
        </w:rPr>
        <w:t>. Vid publicering av en enskild rappo</w:t>
      </w:r>
      <w:r w:rsidR="00493320">
        <w:rPr>
          <w:rFonts w:ascii="Garamond" w:hAnsi="Garamond"/>
          <w:color w:val="auto"/>
        </w:rPr>
        <w:t>rt, ska Samordningsförbundets</w:t>
      </w:r>
      <w:r w:rsidRPr="00782768">
        <w:rPr>
          <w:rFonts w:ascii="Garamond" w:hAnsi="Garamond"/>
          <w:color w:val="auto"/>
        </w:rPr>
        <w:t xml:space="preserve"> intressenter info</w:t>
      </w:r>
      <w:r w:rsidR="00493320">
        <w:rPr>
          <w:rFonts w:ascii="Garamond" w:hAnsi="Garamond"/>
          <w:color w:val="auto"/>
        </w:rPr>
        <w:t>rmeras. Samordningsförbundet</w:t>
      </w:r>
      <w:r w:rsidRPr="00782768">
        <w:rPr>
          <w:rFonts w:ascii="Garamond" w:hAnsi="Garamond"/>
          <w:color w:val="auto"/>
        </w:rPr>
        <w:t xml:space="preserve"> ska följa upp hur erfarenheter från projekten tillvaratas. </w:t>
      </w:r>
    </w:p>
    <w:p w:rsidR="00493320" w:rsidRPr="00782768" w:rsidRDefault="00493320" w:rsidP="00782768">
      <w:pPr>
        <w:pStyle w:val="Default"/>
        <w:rPr>
          <w:rFonts w:ascii="Garamond" w:hAnsi="Garamond"/>
          <w:color w:val="auto"/>
        </w:rPr>
      </w:pPr>
    </w:p>
    <w:p w:rsidR="00782768" w:rsidRPr="00782768" w:rsidRDefault="00782768" w:rsidP="00782768">
      <w:pPr>
        <w:pStyle w:val="Default"/>
        <w:rPr>
          <w:rFonts w:ascii="Garamond" w:hAnsi="Garamond"/>
          <w:color w:val="auto"/>
        </w:rPr>
      </w:pPr>
      <w:r w:rsidRPr="00782768">
        <w:rPr>
          <w:rFonts w:ascii="Garamond" w:hAnsi="Garamond"/>
          <w:i/>
          <w:iCs/>
          <w:color w:val="auto"/>
        </w:rPr>
        <w:t xml:space="preserve">6. Ekonomiska effekter och fortsatt finansiering </w:t>
      </w:r>
    </w:p>
    <w:p w:rsidR="00782768" w:rsidRDefault="00493320" w:rsidP="00782768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Utvär</w:t>
      </w:r>
      <w:r w:rsidR="00782768" w:rsidRPr="00782768">
        <w:rPr>
          <w:rFonts w:ascii="Garamond" w:hAnsi="Garamond"/>
          <w:color w:val="auto"/>
        </w:rPr>
        <w:t>deringen bör söka svar på frågan om hur ett eventuellt tillvaratagande</w:t>
      </w:r>
      <w:r>
        <w:rPr>
          <w:rFonts w:ascii="Garamond" w:hAnsi="Garamond"/>
          <w:color w:val="auto"/>
        </w:rPr>
        <w:t xml:space="preserve"> </w:t>
      </w:r>
      <w:r w:rsidR="00782768" w:rsidRPr="00782768">
        <w:rPr>
          <w:rFonts w:ascii="Garamond" w:hAnsi="Garamond"/>
          <w:color w:val="auto"/>
        </w:rPr>
        <w:t xml:space="preserve">av insatsen kan finansieras. </w:t>
      </w:r>
    </w:p>
    <w:p w:rsidR="00493320" w:rsidRPr="00782768" w:rsidRDefault="00493320" w:rsidP="00782768">
      <w:pPr>
        <w:pStyle w:val="Default"/>
        <w:rPr>
          <w:rFonts w:ascii="Garamond" w:hAnsi="Garamond"/>
          <w:color w:val="auto"/>
        </w:rPr>
      </w:pPr>
    </w:p>
    <w:p w:rsidR="00782768" w:rsidRPr="00782768" w:rsidRDefault="00782768" w:rsidP="00782768">
      <w:pPr>
        <w:pStyle w:val="Default"/>
        <w:rPr>
          <w:rFonts w:ascii="Garamond" w:hAnsi="Garamond"/>
          <w:color w:val="auto"/>
        </w:rPr>
      </w:pPr>
      <w:r w:rsidRPr="00782768">
        <w:rPr>
          <w:rFonts w:ascii="Garamond" w:hAnsi="Garamond"/>
          <w:i/>
          <w:iCs/>
          <w:color w:val="auto"/>
        </w:rPr>
        <w:t xml:space="preserve">7. Samhällsperspektivet </w:t>
      </w:r>
    </w:p>
    <w:p w:rsidR="00782768" w:rsidRDefault="00782768" w:rsidP="00782768">
      <w:pPr>
        <w:rPr>
          <w:rFonts w:ascii="Garamond" w:hAnsi="Garamond"/>
          <w:sz w:val="24"/>
          <w:szCs w:val="24"/>
        </w:rPr>
      </w:pPr>
      <w:r w:rsidRPr="00782768">
        <w:rPr>
          <w:rFonts w:ascii="Garamond" w:hAnsi="Garamond"/>
          <w:sz w:val="24"/>
          <w:szCs w:val="24"/>
        </w:rPr>
        <w:t>I utvärderingen av en insats ska alltid samhällsperspektivet lyftas fram. Detta medför att resultat, om än negativa ur ett organisatoriskt perspektiv, ska ses ur ett samhälleligt perspektiv, i syfte att tydliggöra kortsiktig, och långsiktig, effekt med enskilda insatser.</w:t>
      </w:r>
    </w:p>
    <w:p w:rsidR="00493320" w:rsidRDefault="00493320" w:rsidP="00782768">
      <w:pPr>
        <w:rPr>
          <w:rFonts w:ascii="Garamond" w:hAnsi="Garamond"/>
          <w:sz w:val="24"/>
          <w:szCs w:val="24"/>
        </w:rPr>
      </w:pPr>
    </w:p>
    <w:p w:rsidR="00493320" w:rsidRPr="00782768" w:rsidRDefault="001677F4" w:rsidP="007827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ÅR/2014-05</w:t>
      </w:r>
      <w:bookmarkStart w:id="0" w:name="_GoBack"/>
      <w:bookmarkEnd w:id="0"/>
    </w:p>
    <w:p w:rsidR="00782768" w:rsidRPr="00782768" w:rsidRDefault="00782768">
      <w:pPr>
        <w:pStyle w:val="Sidhuvud"/>
        <w:tabs>
          <w:tab w:val="clear" w:pos="4536"/>
          <w:tab w:val="clear" w:pos="9072"/>
        </w:tabs>
        <w:rPr>
          <w:lang w:val="en-GB"/>
        </w:rPr>
      </w:pPr>
    </w:p>
    <w:sectPr w:rsidR="00782768" w:rsidRPr="007827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40" w:rsidRDefault="00734640">
      <w:r>
        <w:separator/>
      </w:r>
    </w:p>
  </w:endnote>
  <w:endnote w:type="continuationSeparator" w:id="0">
    <w:p w:rsidR="00734640" w:rsidRDefault="007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F8" w:rsidRDefault="00493320">
    <w:pPr>
      <w:pStyle w:val="Sidfot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-2253615</wp:posOffset>
          </wp:positionV>
          <wp:extent cx="2901950" cy="2901950"/>
          <wp:effectExtent l="0" t="0" r="0" b="0"/>
          <wp:wrapNone/>
          <wp:docPr id="2" name="Bild 1" descr="dekoreleme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oreleme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290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1F8" w:rsidRDefault="004D31F8">
    <w:pPr>
      <w:pStyle w:val="Sidfot"/>
    </w:pPr>
  </w:p>
  <w:p w:rsidR="004D31F8" w:rsidRDefault="00F92AC2">
    <w:pPr>
      <w:pStyle w:val="Sidfo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SAMORDNINGSFÖRBUNDET I JÄMTLANDS LÄN</w:t>
    </w:r>
    <w:r>
      <w:rPr>
        <w:rFonts w:ascii="Arial" w:hAnsi="Arial" w:cs="Arial"/>
        <w:sz w:val="16"/>
      </w:rPr>
      <w:br/>
      <w:t xml:space="preserve"> Box 3123</w:t>
    </w:r>
    <w:r w:rsidR="00782768">
      <w:rPr>
        <w:rFonts w:ascii="Arial" w:hAnsi="Arial" w:cs="Arial"/>
        <w:sz w:val="16"/>
      </w:rPr>
      <w:t>, 831 03 Östersund</w:t>
    </w:r>
    <w:r>
      <w:rPr>
        <w:rFonts w:ascii="Arial" w:hAnsi="Arial" w:cs="Arial"/>
        <w:sz w:val="16"/>
      </w:rPr>
      <w:t xml:space="preserve"> </w:t>
    </w:r>
    <w:hyperlink r:id="rId2" w:history="1">
      <w:r>
        <w:rPr>
          <w:rStyle w:val="Hyperlnk"/>
          <w:rFonts w:ascii="Arial" w:hAnsi="Arial" w:cs="Arial"/>
          <w:color w:val="auto"/>
          <w:sz w:val="16"/>
          <w:u w:val="none"/>
        </w:rPr>
        <w:t>info@samjamt.</w:t>
      </w:r>
      <w:proofErr w:type="gramStart"/>
      <w:r>
        <w:rPr>
          <w:rStyle w:val="Hyperlnk"/>
          <w:rFonts w:ascii="Arial" w:hAnsi="Arial" w:cs="Arial"/>
          <w:color w:val="auto"/>
          <w:sz w:val="16"/>
          <w:u w:val="none"/>
        </w:rPr>
        <w:t>se</w:t>
      </w:r>
    </w:hyperlink>
    <w:r>
      <w:rPr>
        <w:rFonts w:ascii="Arial" w:hAnsi="Arial" w:cs="Arial"/>
        <w:sz w:val="16"/>
      </w:rPr>
      <w:t xml:space="preserve">  </w:t>
    </w:r>
    <w:r w:rsidR="00A11025">
      <w:fldChar w:fldCharType="begin"/>
    </w:r>
    <w:proofErr w:type="gramEnd"/>
    <w:r w:rsidR="00A11025">
      <w:instrText xml:space="preserve"> HYPERLINK "http://www.samjamt.se/" </w:instrText>
    </w:r>
    <w:r w:rsidR="00A11025">
      <w:fldChar w:fldCharType="separate"/>
    </w:r>
    <w:r>
      <w:rPr>
        <w:rStyle w:val="Hyperlnk"/>
        <w:rFonts w:ascii="Arial" w:hAnsi="Arial" w:cs="Arial"/>
        <w:color w:val="auto"/>
        <w:sz w:val="16"/>
        <w:u w:val="none"/>
      </w:rPr>
      <w:t>www.samjamt.se</w:t>
    </w:r>
    <w:r w:rsidR="00A11025">
      <w:rPr>
        <w:rStyle w:val="Hyperlnk"/>
        <w:rFonts w:ascii="Arial" w:hAnsi="Arial" w:cs="Arial"/>
        <w:color w:val="auto"/>
        <w:sz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40" w:rsidRDefault="00734640">
      <w:r>
        <w:separator/>
      </w:r>
    </w:p>
  </w:footnote>
  <w:footnote w:type="continuationSeparator" w:id="0">
    <w:p w:rsidR="00734640" w:rsidRDefault="0073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F8" w:rsidRDefault="00493320">
    <w:pPr>
      <w:pStyle w:val="Sidhuvud"/>
      <w:ind w:left="-180"/>
    </w:pPr>
    <w:r>
      <w:rPr>
        <w:noProof/>
      </w:rPr>
      <w:drawing>
        <wp:inline distT="0" distB="0" distL="0" distR="0">
          <wp:extent cx="3086100" cy="790575"/>
          <wp:effectExtent l="0" t="0" r="0" b="9525"/>
          <wp:docPr id="1" name="Bild 1" descr="Samjamt-utan-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jamt-utan-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1F8" w:rsidRDefault="004D31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68"/>
    <w:rsid w:val="000613DB"/>
    <w:rsid w:val="001677F4"/>
    <w:rsid w:val="00493320"/>
    <w:rsid w:val="004D31F8"/>
    <w:rsid w:val="005B68D7"/>
    <w:rsid w:val="00734640"/>
    <w:rsid w:val="00782768"/>
    <w:rsid w:val="00A11025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/>
      <w:sz w:val="24"/>
      <w:szCs w:val="24"/>
      <w:lang w:eastAsia="sv-SE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/>
      <w:sz w:val="24"/>
      <w:szCs w:val="24"/>
      <w:lang w:eastAsia="sv-SE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customStyle="1" w:styleId="Default">
    <w:name w:val="Default"/>
    <w:rsid w:val="00782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8D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/>
      <w:sz w:val="24"/>
      <w:szCs w:val="24"/>
      <w:lang w:eastAsia="sv-SE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/>
      <w:sz w:val="24"/>
      <w:szCs w:val="24"/>
      <w:lang w:eastAsia="sv-SE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customStyle="1" w:styleId="Default">
    <w:name w:val="Default"/>
    <w:rsid w:val="00782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8D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mjamt.s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rven\Home$\akeron\Desktop\F&#246;rs&#228;ttsbl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Försättsblad</Template>
  <TotalTime>16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Links>
    <vt:vector size="24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  <vt:variant>
        <vt:i4>3670066</vt:i4>
      </vt:variant>
      <vt:variant>
        <vt:i4>1037</vt:i4>
      </vt:variant>
      <vt:variant>
        <vt:i4>1025</vt:i4>
      </vt:variant>
      <vt:variant>
        <vt:i4>1</vt:i4>
      </vt:variant>
      <vt:variant>
        <vt:lpwstr>Samjamt-utan-i</vt:lpwstr>
      </vt:variant>
      <vt:variant>
        <vt:lpwstr/>
      </vt:variant>
      <vt:variant>
        <vt:i4>1769490</vt:i4>
      </vt:variant>
      <vt:variant>
        <vt:i4>-1</vt:i4>
      </vt:variant>
      <vt:variant>
        <vt:i4>2049</vt:i4>
      </vt:variant>
      <vt:variant>
        <vt:i4>1</vt:i4>
      </vt:variant>
      <vt:variant>
        <vt:lpwstr>dekorelement1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 Rönnberg</dc:creator>
  <cp:lastModifiedBy>Åke Rönnberg</cp:lastModifiedBy>
  <cp:revision>4</cp:revision>
  <cp:lastPrinted>2011-08-09T10:10:00Z</cp:lastPrinted>
  <dcterms:created xsi:type="dcterms:W3CDTF">2014-02-18T10:26:00Z</dcterms:created>
  <dcterms:modified xsi:type="dcterms:W3CDTF">2014-05-23T08:31:00Z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</Properties>
</file>